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88</w:t>
      </w:r>
    </w:p>
    <w:p>
      <w:r>
        <w:t>Bundesgericht (BGE), 2001-05-11, FR</w:t>
      </w:r>
    </w:p>
    <w:p>
      <w:r>
        <w:rPr>
          <w:b/>
        </w:rPr>
        <w:t xml:space="preserve">Quelle: </w:t>
      </w:r>
      <w:r>
        <w:t>https://mcp.opencaselaw.ch/entscheid/bge_127 V 88</w:t>
      </w:r>
    </w:p>
    <w:p>
      <w:r>
        <w:t>FR: ATF 127 V 88</w:t>
      </w:r>
    </w:p>
    <w:p>
      <w:r>
        <w:t>IT: DTF 127 V 88</w:t>
      </w:r>
    </w:p>
    <w:p>
      <w:pPr>
        <w:pStyle w:val="Heading2"/>
      </w:pPr>
      <w:r>
        <w:t>Regeste</w:t>
      </w:r>
    </w:p>
    <w:p>
      <w:r>
        <w:t>Regeste Art. 72 KVG: Maximale Entschädigungsdauer bei gleichzeitiger Taggeldreduktion wegen Überversicherung und bloss teilweiser Arbeitsunfähigkeit. In solchen Fällen ist die Entschädigungsdauer bis zu dem Zeitpunkt zu verlängern, in welchem die versicherte Person den Taggeldbetrag erhalten hat, auf den sie ohne Überversicherung beim gegebenen Arbeitsunfähigkeitsgrad in 720 Tagen Anspruch gehabt hätte.</w:t>
      </w:r>
    </w:p>
    <w:p>
      <w:pPr>
        <w:pStyle w:val="Heading2"/>
      </w:pPr>
      <w:r>
        <w:t>Erwägungen</w:t>
      </w:r>
    </w:p>
    <w:p>
      <w:r>
        <w:rPr>
          <w:b/>
        </w:rPr>
        <w:t>E. 1</w:t>
      </w:r>
    </w:p>
    <w:p>
      <w:r>
        <w:t>a) Selon l' art. 72 al. 2 LAMal , le droit à l'indemnité journalière prend naissance lorsque l'assuré a une capacité de travail réduite au moins de moitié (première phrase).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résiduelle de travail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 b) La LAMA posait le principe selon lequel l'assurance ne devait pas être une source de gain pour les assurés. Par conséquent, lorsque l'assuré touchait des prestations émanant d'autres assureurs, les caisses-maladie réduisaient les indemnités journalières dues (cf. art. 26 LAMA ). Lorsque l'indemnité journalière était réduite selon l' art. 26 LAMA , l' art. 12bis al. 4 LAMA prévoyait l'augmentation de la durée des jours d'indemnisation. Ainsi, à une réduction de 50 pour cent de l'indemnité devait correspondre une durée de versement de 1440 jours compris dans une période de 1800 jours consécutifs, le calcul étant effectué rétrospectivement, à partir du jour où l'indemnité avait été accordée pour la dernière fois ( ATF 125 V 109 consid. 2b; BORELLA, L'affiliation à l'assurance-maladie sociale suisse, thèse Genève 1993, p. 330 sv.). Il s'agissait, en d'autres termes, de garantir aux assurés le paiement de l'équivalent de 720 indemnités pleines et entières. BGE 127 V 88 S. 91 Ces principes étaient également applicables en cas de réduction de l'indemnité journalière pour cause d'incapacité de travail partielle ( ATF 98 V 84 consid. 3b; RAMA 1989 no K 823 p. 394 consid. 3). c) Dans son projet relatif à la LAMal, le Conseil fédéral abandonnait purement et simplement ce système légal et jurisprudentiel de prolongation de la durée d'indemnisation en cas de réduction de l'indemnité journalière. L'art. 64 al. 3 du projet prévoyait en effet que les indemnités journalières devaient être versées, pour une ou plusieurs maladies, durant au moins 720 jours dans une période de 900 jours; le projet ne contenait pas de disposition analogue à l' art. 12bis al. 4 LAMA (message concernant la révision de l'assurance-maladie du 6 novembre 1991, FF 1992 I 183 sv. et 266; voir aussi DUC, Quelques réflexions relatives à l'assurance d'une indemnité journalière selon la LAMal, in: RSAS 1998 p. 261). Au cours des débats parlementaires, les Chambres fédérales, sur proposition de la commission du Conseil national, ont cependant réintroduit la possibilité d'une telle prolongation, conformément à la pratique antérieure, mais seulement en cas de réduction de l'indemnité pour cause de surindemnisation, ce qui a conduit à l'adoption de l' art. 72 al. 5 LAMal (Bull.off. CN 1993 p. 1894 et Bull.off. CE 1993 p. 1094). L'idée à la base de cette disposition est que l'assuré ne perde pas, en raison d'une surindemnisation, le bénéfice des prestations de l'assurance-maladie qui lui sont acquises par le versement de ses primes; l'assureur ne saurait tirer un avantage du fait que l'assuré bénéficie de prestations d'autres assureurs (procès-verbal de la Commission de la sécurité sociale et de la santé publique [CSSS] du Conseil national, séance du 8 juillet 1993). En revanche, quand l'indemnité est réduite en raison de l'incapacité partielle de travail, la durée d'indemnisation est limitée à 720 jours pour une période de 900 jours ( art. 72 al. 3 et 4 LAMal ). Les jours d'incapacité partielle valent comme des jours entiers d'indemnisation. Mais pour compenser le fait que l'assuré ne reçoit pas, le cas échéant, 720 indemnités journalières complètes, le législateur a prévu - ce qui est une innovation par rapport à l'ancien droit (cf. ATF 125 V 110 consid. 3 in fine) - que la couverture d'assurance devait être maintenue pour la capacité de travail résiduelle (art. 72 al. 4 in fine LAMal; voir à ce sujet GEBHARD EUGSTER, Zum Leistungsrecht der Taggeldversicherung nach KVG, in: LAMal-KVG, Recueil de travaux en l'honneur de la Société suisse de droit des assurances, Lausanne 1997, p. 527 sv.). BGE 127 V 88 S. 92 d) Au sujet de la durée maximale d'indemnisation, la LAMal ne fournit pas de réponse immédiate à la question qui se pose quand l'indemnité est - comme en l'espèce - réduite à la fois pour cause de surindemnisation et d'incapacité partielle de travail. Il s'agit donc de rechercher quelle est la relation réciproque entre les alinéas 4 et 5 de l' art. 72 LAMal .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Selon EUGSTER (loc.cit., p. 530 sv.), en cas d'incapacité de travail de 50 pour cent, l'indemnité journalière réduite pour cause de surindemnisation doit être allouée aussi longtemps que l'assuré n'a pas obtenu l'équivalent de 720 demi-indemnités journalières (voir aussi, du même auteur: Krankenversicherung, in: Schweizerisches Bundesverwaltungsrecht [SBVR], Soziale Sicherheit, ch. 379). Les premiers juges se prononcent dans le même sens: ils considèrent que par "indemnités journalières complètes" selon l' art. 72 al. 5 LAMal , il faut entendre non seulement l'indemnité qui correspond à une incapacité de travail totale, mais aussi celle due en cas d'incapacité de travail partielle au sens de l'alinéa 4 et non réduite pour cause de surindemnisation. L'opinion exprimée par cet auteur et par le tribunal des assurances mérite d'être confirmée. Les art. 72 al. 4 et 72 al. 5 LAMal sont des règles de rang identique qui ont été adoptées en même temps. Ni le texte ni la systématique de la loi ne permettent de considérer que l'une d'entre elles devrait l'emporter sur l'autre. On l'a vu, par l'adoption de l' art. 72 al. 5 LAMal , le législateur a voulu établir une certaine équivalence entre les primes versées et le droit aux prestations. Sous peine de contredire cette volonté clairement affirmée, on ne saurait admettre, quand l'indemnité journalière est réduite pour cause de surindemnisation et d'incapacité partielle de travail, que le droit aux prestations est limité à 720 jours conformément à l' art. 72 al. 4 LAMal . A l'inverse, il n'y a pas plus de motif d'accorder la priorité à l'alinéa 5 en reconnaissant à l'assuré, dans le même cas de figure, le droit à l'équivalent de 720 indemnités journalières complètes. Dès lors, si l'on veut concilier l'intention du législateur avec BGE 127 V 88 S. 93 le texte de la loi, la seule solution qui s'impose consiste en une application combinée des dispositions légales en cause. 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w:t>
      </w:r>
    </w:p>
    <w:p>
      <w:r>
        <w:rPr>
          <w:b/>
        </w:rPr>
        <w:t>E. 2</w:t>
      </w:r>
    </w:p>
    <w:p>
      <w:r>
        <w:t>Sous réserve de certaines dispositions inapplicables en l'espèce, la LAMal est entrée en vigueur le 1er janvier 1996 (art. 1er de l'ordonnance concernant l'entrée en vigueur et l'introduction de la LAMal; RS 832.101).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Cette norme transitoire vise précisément les situations de l'ancien droit dans lesquelles la durée des jours d'indemnisation était augmentée en application de l' art. 12bis al. 4 LAMA (message précité, p. 196 sv.). En l'espèce, la caisse a alloué à la recourante des indemnités journalières à partir du 18 décembre 1992. Jusqu'au 31 décembre 1997, le versement de ces indemnités était soumis à la LAMA. Aussi bien la recourante a-t-elle perçu pour cette période des indemnités pendant 1840 jours, pour un montant total de 56'059 francs. A partir du 1er janvier 1998, à l'expiration de la période transitoire de deux ans, le versement des indemnités était régi par le nouveau droit (103 al. 2 LAMal). Dès ce moment, la recourante ne pouvait donc prétendre une prolongation du versement des indemnités que si elle n'avait pas perçu l'équivalent de 720 indemnités calculées en fonction de son taux d'incapacité de travail et abstraction faite de toute surindemnisation. Selon un décompte non contesté de la caisse, le montant correspondant à 720 indemnités journalières complètes ("capital assuré") représente 82'302 fr. 50. L'indemnité journalière entière s'élève ainsi à 114 fr. 30 (82'302 fr. 50 : 720) et la demi-indemnité à 57 fr. 15. Au cours des 720 premiers jours d'indemnisation, l'incapacité de travail a été de 50 pour cent durant 714 jours et de 100 pour cent durant six jours (du 19 au 24 novembre 1993). 714 jours d'indemnisation à 57 fr. 15 représentent 40'805 fr. 10. A cela s'ajoutent six jours d'indemnisation à 114 fr. 30, soit 685 fr. 80. Au total, les indemnités qui étaient dues pour la période de 720 jours, s'il n'y avait pas eu surindemnisation, se seraient élevées à 41'490 fr. 90. Au BGE 127 V 88 S. 94 31 décembre 1997, la caisse avait versé un montant supérieur (56'059 francs), de sorte que la prétention de la recourante tendant au versement d'indemnités journalières supplémentaires n'est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